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FCE8" w14:textId="77777777" w:rsidR="00312358" w:rsidRPr="00312358" w:rsidRDefault="00312358" w:rsidP="00312358">
      <w:pPr>
        <w:pStyle w:val="BodyA"/>
        <w:jc w:val="center"/>
        <w:rPr>
          <w:rFonts w:ascii="Cambria" w:hAnsi="Cambria"/>
          <w:b/>
          <w:bCs/>
          <w:kern w:val="1"/>
          <w:sz w:val="42"/>
          <w:szCs w:val="42"/>
          <w:lang w:val="es-ES"/>
        </w:rPr>
      </w:pPr>
      <w:r w:rsidRPr="00312358">
        <w:rPr>
          <w:rFonts w:ascii="Cambria" w:hAnsi="Cambria"/>
          <w:b/>
          <w:bCs/>
          <w:kern w:val="1"/>
          <w:sz w:val="42"/>
          <w:szCs w:val="42"/>
          <w:lang w:val="es-ES"/>
        </w:rPr>
        <w:t>Una propuesta de terapia génica para la anemia de Blackfan Diamond, designada medicamento huérfano</w:t>
      </w:r>
    </w:p>
    <w:p w14:paraId="70760FBE" w14:textId="77777777" w:rsidR="007D788F" w:rsidRPr="005A3F2D" w:rsidRDefault="007D788F" w:rsidP="007D788F">
      <w:pPr>
        <w:rPr>
          <w:rFonts w:ascii="Cambria" w:hAnsi="Cambria"/>
          <w:b/>
          <w:bCs/>
          <w:i/>
          <w:iCs/>
          <w:color w:val="617074"/>
          <w:sz w:val="26"/>
          <w:szCs w:val="26"/>
          <w:u w:color="000000"/>
          <w:lang w:val="es-ES"/>
        </w:rPr>
      </w:pPr>
    </w:p>
    <w:p w14:paraId="7C46E674" w14:textId="77777777" w:rsidR="00312358" w:rsidRPr="00312358" w:rsidRDefault="00312358" w:rsidP="00312358">
      <w:pPr>
        <w:pStyle w:val="Prrafodelista"/>
        <w:numPr>
          <w:ilvl w:val="0"/>
          <w:numId w:val="2"/>
        </w:numPr>
        <w:rPr>
          <w:rFonts w:ascii="Cambria" w:hAnsi="Cambria"/>
          <w:b/>
          <w:bCs/>
          <w:i/>
          <w:iCs/>
          <w:color w:val="617074"/>
          <w:kern w:val="1"/>
          <w:sz w:val="26"/>
          <w:szCs w:val="26"/>
          <w:u w:color="617074"/>
          <w:lang w:val="es-ES"/>
        </w:rPr>
      </w:pPr>
      <w:r w:rsidRPr="00312358">
        <w:rPr>
          <w:rFonts w:ascii="Cambria" w:hAnsi="Cambria"/>
          <w:b/>
          <w:bCs/>
          <w:i/>
          <w:iCs/>
          <w:color w:val="617074"/>
          <w:kern w:val="1"/>
          <w:sz w:val="26"/>
          <w:szCs w:val="26"/>
          <w:u w:color="617074"/>
          <w:lang w:val="es-ES"/>
        </w:rPr>
        <w:t>La anemia de Blackfan Diamond es una enfermedad rara caracterizada por carencia de glóbulos rojos, anomalías congénitas y predisposición al cáncer.</w:t>
      </w:r>
    </w:p>
    <w:p w14:paraId="4703E8DA" w14:textId="77777777" w:rsidR="00312358" w:rsidRPr="00312358" w:rsidRDefault="00312358" w:rsidP="00312358">
      <w:pPr>
        <w:pStyle w:val="Prrafodelista"/>
        <w:numPr>
          <w:ilvl w:val="0"/>
          <w:numId w:val="2"/>
        </w:numPr>
        <w:rPr>
          <w:rFonts w:ascii="Cambria" w:hAnsi="Cambria"/>
          <w:b/>
          <w:bCs/>
          <w:i/>
          <w:iCs/>
          <w:color w:val="617074"/>
          <w:kern w:val="1"/>
          <w:sz w:val="26"/>
          <w:szCs w:val="26"/>
          <w:u w:color="617074"/>
          <w:lang w:val="es-ES"/>
        </w:rPr>
      </w:pPr>
      <w:r w:rsidRPr="00312358">
        <w:rPr>
          <w:rFonts w:ascii="Cambria" w:hAnsi="Cambria"/>
          <w:b/>
          <w:bCs/>
          <w:i/>
          <w:iCs/>
          <w:color w:val="617074"/>
          <w:kern w:val="1"/>
          <w:sz w:val="26"/>
          <w:szCs w:val="26"/>
          <w:u w:color="617074"/>
          <w:lang w:val="es-ES"/>
        </w:rPr>
        <w:t>Los estudios preclínicos avalan la eficaci</w:t>
      </w:r>
      <w:r>
        <w:rPr>
          <w:rFonts w:ascii="Cambria" w:hAnsi="Cambria"/>
          <w:b/>
          <w:bCs/>
          <w:i/>
          <w:iCs/>
          <w:color w:val="617074"/>
          <w:kern w:val="1"/>
          <w:sz w:val="26"/>
          <w:szCs w:val="26"/>
          <w:u w:color="617074"/>
          <w:lang w:val="es-ES"/>
        </w:rPr>
        <w:t>a</w:t>
      </w:r>
      <w:r w:rsidRPr="00312358">
        <w:rPr>
          <w:rFonts w:ascii="Cambria" w:hAnsi="Cambria"/>
          <w:b/>
          <w:bCs/>
          <w:i/>
          <w:iCs/>
          <w:color w:val="617074"/>
          <w:kern w:val="1"/>
          <w:sz w:val="26"/>
          <w:szCs w:val="26"/>
          <w:u w:color="617074"/>
          <w:lang w:val="es-ES"/>
        </w:rPr>
        <w:t xml:space="preserve"> de un nuevo vector lentiviral capaz de corregir el defecto genético que sufren el 25% de los afectados.</w:t>
      </w:r>
    </w:p>
    <w:p w14:paraId="7C08BEA5" w14:textId="77777777" w:rsidR="007D788F" w:rsidRPr="00312358" w:rsidRDefault="00312358" w:rsidP="00312358">
      <w:pPr>
        <w:pStyle w:val="Prrafodelista"/>
        <w:numPr>
          <w:ilvl w:val="0"/>
          <w:numId w:val="2"/>
        </w:numPr>
        <w:rPr>
          <w:rFonts w:ascii="Cambria" w:hAnsi="Cambria"/>
          <w:b/>
          <w:bCs/>
          <w:i/>
          <w:iCs/>
          <w:color w:val="617074"/>
          <w:kern w:val="1"/>
          <w:sz w:val="26"/>
          <w:szCs w:val="26"/>
          <w:u w:color="617074"/>
          <w:lang w:val="es-ES"/>
        </w:rPr>
      </w:pPr>
      <w:r w:rsidRPr="00312358">
        <w:rPr>
          <w:rFonts w:ascii="Cambria" w:hAnsi="Cambria"/>
          <w:b/>
          <w:bCs/>
          <w:i/>
          <w:iCs/>
          <w:color w:val="617074"/>
          <w:kern w:val="1"/>
          <w:sz w:val="26"/>
          <w:szCs w:val="26"/>
          <w:u w:color="617074"/>
          <w:lang w:val="es-ES"/>
        </w:rPr>
        <w:t>Este proyecto está siendo desarrollado por la Unidad de Innovación Biomédica del CIEMAT, CIBERER e IIS-FJD, que ya participa en ensayos clínicos con vectores lentivirales similares para otras enfermedades hematológicas</w:t>
      </w:r>
      <w:r>
        <w:rPr>
          <w:rFonts w:ascii="Cambria" w:hAnsi="Cambria"/>
          <w:b/>
          <w:bCs/>
          <w:i/>
          <w:iCs/>
          <w:color w:val="617074"/>
          <w:kern w:val="1"/>
          <w:sz w:val="26"/>
          <w:szCs w:val="26"/>
          <w:u w:color="617074"/>
          <w:lang w:val="es-ES"/>
        </w:rPr>
        <w:t>.</w:t>
      </w:r>
    </w:p>
    <w:p w14:paraId="7686BCC5" w14:textId="77777777" w:rsidR="00312358" w:rsidRDefault="00312358">
      <w:pPr>
        <w:pStyle w:val="BodyA"/>
        <w:rPr>
          <w:rFonts w:ascii="Cambria" w:hAnsi="Cambria"/>
          <w:b/>
          <w:bCs/>
          <w:kern w:val="1"/>
          <w:sz w:val="24"/>
          <w:szCs w:val="24"/>
        </w:rPr>
      </w:pPr>
    </w:p>
    <w:p w14:paraId="2A04C316" w14:textId="3CF51E85" w:rsidR="00312358" w:rsidRPr="008A4551" w:rsidRDefault="00312358" w:rsidP="00312358">
      <w:pPr>
        <w:rPr>
          <w:rFonts w:ascii="Cambria" w:hAnsi="Cambria"/>
          <w:b/>
          <w:bCs/>
          <w:kern w:val="1"/>
          <w:lang w:val="es-ES"/>
        </w:rPr>
      </w:pPr>
      <w:r w:rsidRPr="0038350D">
        <w:rPr>
          <w:rFonts w:ascii="Cambria" w:hAnsi="Cambria"/>
          <w:b/>
          <w:bCs/>
          <w:kern w:val="1"/>
          <w:lang w:val="es-ES"/>
        </w:rPr>
        <w:t>Madrid</w:t>
      </w:r>
      <w:r w:rsidR="008F1ECD" w:rsidRPr="0038350D">
        <w:rPr>
          <w:rFonts w:ascii="Cambria" w:hAnsi="Cambria"/>
          <w:b/>
          <w:bCs/>
          <w:kern w:val="1"/>
          <w:lang w:val="es-ES"/>
        </w:rPr>
        <w:t>,</w:t>
      </w:r>
      <w:r w:rsidR="00AA06D2" w:rsidRPr="0038350D">
        <w:rPr>
          <w:rFonts w:ascii="Cambria" w:hAnsi="Cambria"/>
          <w:b/>
          <w:bCs/>
          <w:kern w:val="1"/>
          <w:lang w:val="es-ES"/>
        </w:rPr>
        <w:t xml:space="preserve"> </w:t>
      </w:r>
      <w:r w:rsidRPr="0038350D">
        <w:rPr>
          <w:rFonts w:ascii="Cambria" w:hAnsi="Cambria"/>
          <w:b/>
          <w:bCs/>
          <w:kern w:val="1"/>
          <w:highlight w:val="yellow"/>
          <w:lang w:val="es-ES"/>
        </w:rPr>
        <w:t>¿¿??</w:t>
      </w:r>
      <w:r w:rsidR="008F1ECD" w:rsidRPr="0038350D">
        <w:rPr>
          <w:rFonts w:ascii="Cambria" w:hAnsi="Cambria"/>
          <w:b/>
          <w:bCs/>
          <w:kern w:val="1"/>
          <w:lang w:val="es-ES"/>
        </w:rPr>
        <w:t>.</w:t>
      </w:r>
      <w:r w:rsidR="00C621B0">
        <w:rPr>
          <w:rFonts w:ascii="Cambria" w:hAnsi="Cambria"/>
          <w:b/>
          <w:bCs/>
          <w:kern w:val="1"/>
          <w:lang w:val="es-ES"/>
        </w:rPr>
        <w:t xml:space="preserve"> </w:t>
      </w:r>
      <w:r w:rsidR="00C621B0" w:rsidRPr="00902498">
        <w:rPr>
          <w:rFonts w:ascii="Cambria" w:hAnsi="Cambria"/>
          <w:kern w:val="1"/>
          <w:lang w:val="es-ES"/>
        </w:rPr>
        <w:t>Una propuesta de terapia génica para la anemia de Blackfan Diamond ha sido designada</w:t>
      </w:r>
      <w:r w:rsidR="00C621B0">
        <w:rPr>
          <w:rFonts w:ascii="Cambria" w:hAnsi="Cambria"/>
          <w:b/>
          <w:bCs/>
          <w:kern w:val="1"/>
          <w:lang w:val="es-ES"/>
        </w:rPr>
        <w:t xml:space="preserve"> </w:t>
      </w:r>
      <w:r w:rsidRPr="0038350D">
        <w:rPr>
          <w:rFonts w:ascii="Cambria" w:hAnsi="Cambria"/>
          <w:lang w:val="es-ES"/>
        </w:rPr>
        <w:t xml:space="preserve">como medicamento huérfano por la Agencia Europea del Medicamento. </w:t>
      </w:r>
      <w:r w:rsidR="004440D1">
        <w:rPr>
          <w:rFonts w:ascii="Cambria" w:hAnsi="Cambria"/>
          <w:lang w:val="es-ES"/>
        </w:rPr>
        <w:t xml:space="preserve">Este medicamento consiste en </w:t>
      </w:r>
      <w:r w:rsidR="004440D1" w:rsidRPr="006E1EA2">
        <w:rPr>
          <w:rFonts w:ascii="Cambria" w:hAnsi="Cambria"/>
          <w:lang w:val="es-ES"/>
        </w:rPr>
        <w:t>las propias células madre de</w:t>
      </w:r>
      <w:r w:rsidR="004440D1">
        <w:rPr>
          <w:rFonts w:ascii="Cambria" w:hAnsi="Cambria"/>
          <w:lang w:val="es-ES"/>
        </w:rPr>
        <w:t xml:space="preserve"> la sangre de</w:t>
      </w:r>
      <w:r w:rsidR="004440D1" w:rsidRPr="006E1EA2">
        <w:rPr>
          <w:rFonts w:ascii="Cambria" w:hAnsi="Cambria"/>
          <w:lang w:val="es-ES"/>
        </w:rPr>
        <w:t xml:space="preserve"> los pacientes</w:t>
      </w:r>
      <w:r w:rsidR="004440D1">
        <w:rPr>
          <w:rFonts w:ascii="Cambria" w:hAnsi="Cambria"/>
          <w:lang w:val="es-ES"/>
        </w:rPr>
        <w:t xml:space="preserve"> </w:t>
      </w:r>
      <w:r w:rsidR="00345B91">
        <w:rPr>
          <w:rFonts w:ascii="Cambria" w:hAnsi="Cambria"/>
          <w:lang w:val="es-ES"/>
        </w:rPr>
        <w:t xml:space="preserve">a las que se ha insertado </w:t>
      </w:r>
      <w:r w:rsidR="00345B91" w:rsidRPr="008A4551">
        <w:rPr>
          <w:rFonts w:ascii="Cambria" w:hAnsi="Cambria"/>
          <w:lang w:val="es-ES"/>
        </w:rPr>
        <w:t xml:space="preserve">mediante </w:t>
      </w:r>
      <w:r w:rsidR="00345B91">
        <w:rPr>
          <w:rFonts w:ascii="Cambria" w:hAnsi="Cambria"/>
          <w:lang w:val="es-ES"/>
        </w:rPr>
        <w:t xml:space="preserve">un vector </w:t>
      </w:r>
      <w:proofErr w:type="spellStart"/>
      <w:r w:rsidR="00345B91">
        <w:rPr>
          <w:rFonts w:ascii="Cambria" w:hAnsi="Cambria"/>
          <w:lang w:val="es-ES"/>
        </w:rPr>
        <w:t>lentiviral</w:t>
      </w:r>
      <w:proofErr w:type="spellEnd"/>
      <w:r w:rsidR="00345B91">
        <w:rPr>
          <w:rFonts w:ascii="Cambria" w:hAnsi="Cambria"/>
          <w:lang w:val="es-ES"/>
        </w:rPr>
        <w:t xml:space="preserve"> el </w:t>
      </w:r>
      <w:r w:rsidR="008A4551">
        <w:rPr>
          <w:rFonts w:ascii="Cambria" w:hAnsi="Cambria"/>
          <w:lang w:val="es-ES"/>
        </w:rPr>
        <w:t xml:space="preserve">gen </w:t>
      </w:r>
      <w:r w:rsidR="00345B91" w:rsidRPr="0038350D">
        <w:rPr>
          <w:rFonts w:ascii="Cambria" w:hAnsi="Cambria"/>
          <w:i/>
          <w:iCs/>
          <w:lang w:val="es-ES"/>
        </w:rPr>
        <w:t>RPS19</w:t>
      </w:r>
      <w:r w:rsidR="00345B91">
        <w:rPr>
          <w:rFonts w:ascii="Cambria" w:hAnsi="Cambria"/>
          <w:i/>
          <w:iCs/>
          <w:lang w:val="es-ES"/>
        </w:rPr>
        <w:t xml:space="preserve">, </w:t>
      </w:r>
      <w:r w:rsidR="004440D1" w:rsidRPr="0038350D">
        <w:rPr>
          <w:rFonts w:ascii="Cambria" w:hAnsi="Cambria"/>
          <w:lang w:val="es-ES"/>
        </w:rPr>
        <w:t xml:space="preserve">que </w:t>
      </w:r>
      <w:r w:rsidR="00345B91">
        <w:rPr>
          <w:rFonts w:ascii="Cambria" w:hAnsi="Cambria"/>
          <w:lang w:val="es-ES"/>
        </w:rPr>
        <w:t xml:space="preserve">aparece </w:t>
      </w:r>
      <w:r w:rsidR="004440D1" w:rsidRPr="0038350D">
        <w:rPr>
          <w:rFonts w:ascii="Cambria" w:hAnsi="Cambria"/>
          <w:lang w:val="es-ES"/>
        </w:rPr>
        <w:t xml:space="preserve">alterado </w:t>
      </w:r>
      <w:r w:rsidR="00345B91">
        <w:rPr>
          <w:rFonts w:ascii="Cambria" w:hAnsi="Cambria"/>
          <w:lang w:val="es-ES"/>
        </w:rPr>
        <w:t xml:space="preserve">en </w:t>
      </w:r>
      <w:r w:rsidR="004440D1" w:rsidRPr="0038350D">
        <w:rPr>
          <w:rFonts w:ascii="Cambria" w:hAnsi="Cambria"/>
          <w:lang w:val="es-ES"/>
        </w:rPr>
        <w:t>el 25% de las personas que sufren esta enfermedad rara</w:t>
      </w:r>
      <w:r w:rsidR="00345B91">
        <w:rPr>
          <w:rFonts w:ascii="Cambria" w:hAnsi="Cambria"/>
          <w:lang w:val="es-ES"/>
        </w:rPr>
        <w:t xml:space="preserve">. </w:t>
      </w:r>
      <w:r w:rsidR="004440D1">
        <w:rPr>
          <w:rFonts w:ascii="Cambria" w:hAnsi="Cambria"/>
          <w:lang w:val="es-ES"/>
        </w:rPr>
        <w:t xml:space="preserve"> </w:t>
      </w:r>
    </w:p>
    <w:p w14:paraId="13BCDDAA" w14:textId="77777777" w:rsidR="00312358" w:rsidRPr="0038350D" w:rsidRDefault="00312358" w:rsidP="00312358">
      <w:pPr>
        <w:rPr>
          <w:rFonts w:ascii="Cambria" w:hAnsi="Cambria"/>
          <w:lang w:val="es-ES"/>
        </w:rPr>
      </w:pPr>
    </w:p>
    <w:p w14:paraId="4F907EDA" w14:textId="095DD7BD" w:rsidR="00312358" w:rsidRPr="0038350D" w:rsidRDefault="00312358" w:rsidP="00312358">
      <w:pPr>
        <w:rPr>
          <w:rFonts w:ascii="Cambria" w:hAnsi="Cambria"/>
          <w:lang w:val="es-ES"/>
        </w:rPr>
      </w:pPr>
      <w:r w:rsidRPr="0038350D">
        <w:rPr>
          <w:rFonts w:ascii="Cambria" w:hAnsi="Cambria"/>
          <w:lang w:val="es-ES"/>
        </w:rPr>
        <w:t xml:space="preserve">Esta nueva propuesta de terapia génica ha sido coordinada por </w:t>
      </w:r>
      <w:r w:rsidR="00345B91">
        <w:rPr>
          <w:rFonts w:ascii="Cambria" w:hAnsi="Cambria"/>
          <w:lang w:val="es-ES"/>
        </w:rPr>
        <w:t xml:space="preserve">los doctores </w:t>
      </w:r>
      <w:r w:rsidRPr="0038350D">
        <w:rPr>
          <w:rFonts w:ascii="Cambria" w:hAnsi="Cambria"/>
          <w:lang w:val="es-ES"/>
        </w:rPr>
        <w:t xml:space="preserve">Susana Navarro y Juan Bueren, de la Unidad de Innovación Biomédica en el Centro de Investigaciones Energéticas, Medioambientales y Tecnológicas (CIEMAT), el Centro de Investigación Biomédica en Red de Enfermedades Raras (CIBERER) y el Instituto de Investigación Sanitaria de la Fundación Jiménez Díaz (IIS-FJD). Este equipo ya </w:t>
      </w:r>
      <w:r w:rsidR="00AA5CF7">
        <w:rPr>
          <w:rFonts w:ascii="Cambria" w:hAnsi="Cambria"/>
          <w:lang w:val="es-ES"/>
        </w:rPr>
        <w:t xml:space="preserve">ha desarrollado otros medicamentos huérfanos similares, con los que se están </w:t>
      </w:r>
      <w:r w:rsidR="00C621B0">
        <w:rPr>
          <w:rFonts w:ascii="Cambria" w:hAnsi="Cambria"/>
          <w:lang w:val="es-ES"/>
        </w:rPr>
        <w:t>realizando</w:t>
      </w:r>
      <w:r w:rsidR="00AA5CF7">
        <w:rPr>
          <w:rFonts w:ascii="Cambria" w:hAnsi="Cambria"/>
          <w:lang w:val="es-ES"/>
        </w:rPr>
        <w:t xml:space="preserve"> novedosos </w:t>
      </w:r>
      <w:r w:rsidRPr="0038350D">
        <w:rPr>
          <w:rFonts w:ascii="Cambria" w:hAnsi="Cambria"/>
          <w:lang w:val="es-ES"/>
        </w:rPr>
        <w:t xml:space="preserve">ensayos clínicos para </w:t>
      </w:r>
      <w:r w:rsidR="00AA5CF7">
        <w:rPr>
          <w:rFonts w:ascii="Cambria" w:hAnsi="Cambria"/>
          <w:lang w:val="es-ES"/>
        </w:rPr>
        <w:t xml:space="preserve">otra anemia congénita - </w:t>
      </w:r>
      <w:r w:rsidRPr="0038350D">
        <w:rPr>
          <w:rFonts w:ascii="Cambria" w:hAnsi="Cambria"/>
          <w:lang w:val="es-ES"/>
        </w:rPr>
        <w:t>la anemia de Fanconi</w:t>
      </w:r>
      <w:r w:rsidR="00AA5CF7">
        <w:rPr>
          <w:rFonts w:ascii="Cambria" w:hAnsi="Cambria"/>
          <w:lang w:val="es-ES"/>
        </w:rPr>
        <w:t xml:space="preserve"> -</w:t>
      </w:r>
      <w:r w:rsidRPr="0038350D">
        <w:rPr>
          <w:rFonts w:ascii="Cambria" w:hAnsi="Cambria"/>
          <w:lang w:val="es-ES"/>
        </w:rPr>
        <w:t xml:space="preserve"> y </w:t>
      </w:r>
      <w:r w:rsidR="00AA5CF7">
        <w:rPr>
          <w:rFonts w:ascii="Cambria" w:hAnsi="Cambria"/>
          <w:lang w:val="es-ES"/>
        </w:rPr>
        <w:t xml:space="preserve">también </w:t>
      </w:r>
      <w:r w:rsidRPr="0038350D">
        <w:rPr>
          <w:rFonts w:ascii="Cambria" w:hAnsi="Cambria"/>
          <w:lang w:val="es-ES"/>
        </w:rPr>
        <w:t>otras enfermedades hematológicas raras.</w:t>
      </w:r>
    </w:p>
    <w:p w14:paraId="755F3E98" w14:textId="77777777" w:rsidR="00312358" w:rsidRPr="0038350D" w:rsidRDefault="00312358" w:rsidP="00312358">
      <w:pPr>
        <w:rPr>
          <w:rFonts w:ascii="Cambria" w:hAnsi="Cambria"/>
          <w:lang w:val="es-ES"/>
        </w:rPr>
      </w:pPr>
    </w:p>
    <w:p w14:paraId="61F13F68" w14:textId="7D5B0D9C" w:rsidR="00312358" w:rsidRPr="0038350D" w:rsidRDefault="00312358" w:rsidP="00312358">
      <w:pPr>
        <w:rPr>
          <w:rFonts w:ascii="Cambria" w:hAnsi="Cambria"/>
          <w:lang w:val="es-ES"/>
        </w:rPr>
      </w:pPr>
      <w:r w:rsidRPr="0038350D">
        <w:rPr>
          <w:rFonts w:ascii="Cambria" w:hAnsi="Cambria"/>
          <w:lang w:val="es-ES"/>
        </w:rPr>
        <w:t xml:space="preserve">La anemia de Blackfan Diamond es un síndrome hereditario de fallo de médula ósea que se caracteriza principalmente por carencia de glóbulos rojos, anomalías congénitas y un elevado riesgo de desarrollar determinados tipos de cáncer. Se trata de una enfermedad rara </w:t>
      </w:r>
      <w:r w:rsidR="00E70726">
        <w:rPr>
          <w:rFonts w:ascii="Cambria" w:hAnsi="Cambria"/>
          <w:lang w:val="es-ES"/>
        </w:rPr>
        <w:t>con una</w:t>
      </w:r>
      <w:r w:rsidRPr="0038350D">
        <w:rPr>
          <w:rFonts w:ascii="Cambria" w:hAnsi="Cambria"/>
          <w:lang w:val="es-ES"/>
        </w:rPr>
        <w:t xml:space="preserve"> incidencia de 7 casos por millón</w:t>
      </w:r>
      <w:r w:rsidR="00E70726">
        <w:rPr>
          <w:rFonts w:ascii="Cambria" w:hAnsi="Cambria"/>
          <w:lang w:val="es-ES"/>
        </w:rPr>
        <w:t xml:space="preserve"> de personas</w:t>
      </w:r>
      <w:r w:rsidRPr="0038350D">
        <w:rPr>
          <w:rFonts w:ascii="Cambria" w:hAnsi="Cambria"/>
          <w:lang w:val="es-ES"/>
        </w:rPr>
        <w:t xml:space="preserve">. Está provocada por mutaciones en </w:t>
      </w:r>
      <w:r w:rsidR="00AA5CF7">
        <w:rPr>
          <w:rFonts w:ascii="Cambria" w:hAnsi="Cambria"/>
          <w:lang w:val="es-ES"/>
        </w:rPr>
        <w:t xml:space="preserve">alguno de los </w:t>
      </w:r>
      <w:r w:rsidRPr="0038350D">
        <w:rPr>
          <w:rFonts w:ascii="Cambria" w:hAnsi="Cambria"/>
          <w:lang w:val="es-ES"/>
        </w:rPr>
        <w:t xml:space="preserve">20 genes que pueden causarla, aunque las mutaciones en </w:t>
      </w:r>
      <w:r w:rsidRPr="0038350D">
        <w:rPr>
          <w:rFonts w:ascii="Cambria" w:hAnsi="Cambria"/>
          <w:i/>
          <w:iCs/>
          <w:lang w:val="es-ES"/>
        </w:rPr>
        <w:t>RPS19</w:t>
      </w:r>
      <w:r w:rsidRPr="0038350D">
        <w:rPr>
          <w:rFonts w:ascii="Cambria" w:hAnsi="Cambria"/>
          <w:lang w:val="es-ES"/>
        </w:rPr>
        <w:t xml:space="preserve"> son las más habituales.</w:t>
      </w:r>
    </w:p>
    <w:p w14:paraId="7F1A7216" w14:textId="77777777" w:rsidR="00312358" w:rsidRPr="0038350D" w:rsidRDefault="00312358" w:rsidP="00312358">
      <w:pPr>
        <w:rPr>
          <w:rFonts w:ascii="Cambria" w:hAnsi="Cambria"/>
          <w:lang w:val="es-ES"/>
        </w:rPr>
      </w:pPr>
    </w:p>
    <w:p w14:paraId="3497B91E" w14:textId="08D964BE" w:rsidR="00312358" w:rsidRPr="0038350D" w:rsidRDefault="00312358" w:rsidP="00312358">
      <w:pPr>
        <w:rPr>
          <w:rFonts w:ascii="Cambria" w:hAnsi="Cambria"/>
          <w:lang w:val="es-ES"/>
        </w:rPr>
      </w:pPr>
      <w:r w:rsidRPr="0038350D">
        <w:rPr>
          <w:rFonts w:ascii="Cambria" w:hAnsi="Cambria"/>
          <w:lang w:val="es-ES"/>
        </w:rPr>
        <w:lastRenderedPageBreak/>
        <w:t xml:space="preserve">En la actualidad, el único tratamiento curativo para los pacientes con esta enfermedad es el trasplante de células madre sanguíneas de </w:t>
      </w:r>
      <w:r w:rsidR="00AA5CF7">
        <w:rPr>
          <w:rFonts w:ascii="Cambria" w:hAnsi="Cambria"/>
          <w:lang w:val="es-ES"/>
        </w:rPr>
        <w:t>un donante sano compatible,</w:t>
      </w:r>
      <w:r w:rsidRPr="0038350D">
        <w:rPr>
          <w:rFonts w:ascii="Cambria" w:hAnsi="Cambria"/>
          <w:lang w:val="es-ES"/>
        </w:rPr>
        <w:t xml:space="preserve"> que </w:t>
      </w:r>
      <w:r w:rsidR="00AA5CF7">
        <w:rPr>
          <w:rFonts w:ascii="Cambria" w:hAnsi="Cambria"/>
          <w:lang w:val="es-ES"/>
        </w:rPr>
        <w:t>tan s</w:t>
      </w:r>
      <w:r w:rsidR="006C663F">
        <w:rPr>
          <w:rFonts w:ascii="Cambria" w:hAnsi="Cambria"/>
          <w:lang w:val="es-ES"/>
        </w:rPr>
        <w:t>o</w:t>
      </w:r>
      <w:r w:rsidR="00AA5CF7">
        <w:rPr>
          <w:rFonts w:ascii="Cambria" w:hAnsi="Cambria"/>
          <w:lang w:val="es-ES"/>
        </w:rPr>
        <w:t>lo existe para algunos pacientes</w:t>
      </w:r>
      <w:r w:rsidRPr="0038350D">
        <w:rPr>
          <w:rFonts w:ascii="Cambria" w:hAnsi="Cambria"/>
          <w:lang w:val="es-ES"/>
        </w:rPr>
        <w:t xml:space="preserve">. El resto de tratamientos de soporte tienen importantes </w:t>
      </w:r>
      <w:r w:rsidR="00AA5CF7">
        <w:rPr>
          <w:rFonts w:ascii="Cambria" w:hAnsi="Cambria"/>
          <w:lang w:val="es-ES"/>
        </w:rPr>
        <w:t xml:space="preserve">limitaciones en su eficacia o </w:t>
      </w:r>
      <w:r w:rsidRPr="0038350D">
        <w:rPr>
          <w:rFonts w:ascii="Cambria" w:hAnsi="Cambria"/>
          <w:lang w:val="es-ES"/>
        </w:rPr>
        <w:t xml:space="preserve">efectos secundarios que disminuyen la calidad de vida de los pacientes. </w:t>
      </w:r>
    </w:p>
    <w:p w14:paraId="3BA588F1" w14:textId="77777777" w:rsidR="00312358" w:rsidRPr="0038350D" w:rsidRDefault="00312358" w:rsidP="00312358">
      <w:pPr>
        <w:rPr>
          <w:rFonts w:ascii="Cambria" w:hAnsi="Cambria"/>
          <w:lang w:val="es-ES"/>
        </w:rPr>
      </w:pPr>
    </w:p>
    <w:p w14:paraId="5883659C" w14:textId="61CEDCA2" w:rsidR="00312358" w:rsidRPr="0038350D" w:rsidRDefault="00312358" w:rsidP="00312358">
      <w:pPr>
        <w:rPr>
          <w:rFonts w:ascii="Cambria" w:hAnsi="Cambria"/>
          <w:lang w:val="es-ES"/>
        </w:rPr>
      </w:pPr>
      <w:r w:rsidRPr="0038350D">
        <w:rPr>
          <w:rFonts w:ascii="Cambria" w:hAnsi="Cambria"/>
          <w:lang w:val="es-ES"/>
        </w:rPr>
        <w:t>La</w:t>
      </w:r>
      <w:r w:rsidR="00AB1180" w:rsidRPr="0038350D">
        <w:rPr>
          <w:rFonts w:ascii="Cambria" w:hAnsi="Cambria"/>
          <w:lang w:val="es-ES"/>
        </w:rPr>
        <w:t xml:space="preserve"> propuesta de</w:t>
      </w:r>
      <w:r w:rsidRPr="0038350D">
        <w:rPr>
          <w:rFonts w:ascii="Cambria" w:hAnsi="Cambria"/>
          <w:lang w:val="es-ES"/>
        </w:rPr>
        <w:t xml:space="preserve"> terapia génica para la anemia de Blackfan Diamond</w:t>
      </w:r>
      <w:r w:rsidR="00AB1180" w:rsidRPr="0038350D">
        <w:rPr>
          <w:rFonts w:ascii="Cambria" w:hAnsi="Cambria"/>
          <w:lang w:val="es-ES"/>
        </w:rPr>
        <w:t xml:space="preserve"> </w:t>
      </w:r>
      <w:r w:rsidRPr="0038350D">
        <w:rPr>
          <w:rFonts w:ascii="Cambria" w:hAnsi="Cambria"/>
          <w:lang w:val="es-ES"/>
        </w:rPr>
        <w:t xml:space="preserve">que acaba de ser designada medicamento huérfano se realiza </w:t>
      </w:r>
      <w:r w:rsidRPr="0038350D">
        <w:rPr>
          <w:rFonts w:ascii="Cambria" w:hAnsi="Cambria"/>
          <w:i/>
          <w:iCs/>
          <w:lang w:val="es-ES"/>
        </w:rPr>
        <w:t>ex vivo</w:t>
      </w:r>
      <w:r w:rsidRPr="0038350D">
        <w:rPr>
          <w:rFonts w:ascii="Cambria" w:hAnsi="Cambria"/>
          <w:lang w:val="es-ES"/>
        </w:rPr>
        <w:t>.</w:t>
      </w:r>
      <w:r w:rsidR="009D6D90" w:rsidRPr="0038350D">
        <w:rPr>
          <w:rFonts w:ascii="Cambria" w:hAnsi="Cambria"/>
          <w:lang w:val="es-ES"/>
        </w:rPr>
        <w:t xml:space="preserve"> Con los ensayos preclínicos realizados, se ha conseguido corregir </w:t>
      </w:r>
      <w:r w:rsidR="00AA5CF7">
        <w:rPr>
          <w:rFonts w:ascii="Cambria" w:hAnsi="Cambria"/>
          <w:lang w:val="es-ES"/>
        </w:rPr>
        <w:t xml:space="preserve">en el laboratorio </w:t>
      </w:r>
      <w:r w:rsidR="009D6D90" w:rsidRPr="0038350D">
        <w:rPr>
          <w:rFonts w:ascii="Cambria" w:hAnsi="Cambria"/>
          <w:lang w:val="es-ES"/>
        </w:rPr>
        <w:t xml:space="preserve">el defecto genético de </w:t>
      </w:r>
      <w:r w:rsidR="00AA5CF7">
        <w:rPr>
          <w:rFonts w:ascii="Cambria" w:hAnsi="Cambria"/>
          <w:lang w:val="es-ES"/>
        </w:rPr>
        <w:t>células madre hematopoyéticas de estos pacientes</w:t>
      </w:r>
      <w:r w:rsidR="009D6D90" w:rsidRPr="0038350D">
        <w:rPr>
          <w:rFonts w:ascii="Cambria" w:hAnsi="Cambria"/>
          <w:lang w:val="es-ES"/>
        </w:rPr>
        <w:t xml:space="preserve"> mediante la inserción de la versión correcta del gen </w:t>
      </w:r>
      <w:r w:rsidR="009D6D90" w:rsidRPr="0038350D">
        <w:rPr>
          <w:rFonts w:ascii="Cambria" w:hAnsi="Cambria"/>
          <w:i/>
          <w:iCs/>
          <w:lang w:val="es-ES"/>
        </w:rPr>
        <w:t>RPS19</w:t>
      </w:r>
      <w:r w:rsidR="009D6D90" w:rsidRPr="0038350D">
        <w:rPr>
          <w:rFonts w:ascii="Cambria" w:hAnsi="Cambria"/>
          <w:lang w:val="es-ES"/>
        </w:rPr>
        <w:t xml:space="preserve"> a trav</w:t>
      </w:r>
      <w:r w:rsidR="00AA5CF7">
        <w:rPr>
          <w:rFonts w:ascii="Cambria" w:hAnsi="Cambria"/>
          <w:lang w:val="es-ES"/>
        </w:rPr>
        <w:t>é</w:t>
      </w:r>
      <w:r w:rsidR="009D6D90" w:rsidRPr="0038350D">
        <w:rPr>
          <w:rFonts w:ascii="Cambria" w:hAnsi="Cambria"/>
          <w:lang w:val="es-ES"/>
        </w:rPr>
        <w:t>s de</w:t>
      </w:r>
      <w:r w:rsidR="00AA5CF7">
        <w:rPr>
          <w:rFonts w:ascii="Cambria" w:hAnsi="Cambria"/>
          <w:lang w:val="es-ES"/>
        </w:rPr>
        <w:t xml:space="preserve"> un vector</w:t>
      </w:r>
      <w:r w:rsidR="009D6D90" w:rsidRPr="0038350D">
        <w:rPr>
          <w:rFonts w:ascii="Cambria" w:hAnsi="Cambria"/>
          <w:lang w:val="es-ES"/>
        </w:rPr>
        <w:t xml:space="preserve"> lentivir</w:t>
      </w:r>
      <w:r w:rsidR="00AA5CF7">
        <w:rPr>
          <w:rFonts w:ascii="Cambria" w:hAnsi="Cambria"/>
          <w:lang w:val="es-ES"/>
        </w:rPr>
        <w:t>al</w:t>
      </w:r>
      <w:r w:rsidR="009D6D90" w:rsidRPr="0038350D">
        <w:rPr>
          <w:rFonts w:ascii="Cambria" w:hAnsi="Cambria"/>
          <w:lang w:val="es-ES"/>
        </w:rPr>
        <w:t>. El próximo paso ser</w:t>
      </w:r>
      <w:r w:rsidR="00345B91">
        <w:rPr>
          <w:rFonts w:ascii="Cambria" w:hAnsi="Cambria"/>
          <w:lang w:val="es-ES"/>
        </w:rPr>
        <w:t>á</w:t>
      </w:r>
      <w:r w:rsidR="009D6D90" w:rsidRPr="0038350D">
        <w:rPr>
          <w:rFonts w:ascii="Cambria" w:hAnsi="Cambria"/>
          <w:lang w:val="es-ES"/>
        </w:rPr>
        <w:t xml:space="preserve"> comenzar </w:t>
      </w:r>
      <w:r w:rsidR="00AA5CF7">
        <w:rPr>
          <w:rFonts w:ascii="Cambria" w:hAnsi="Cambria"/>
          <w:lang w:val="es-ES"/>
        </w:rPr>
        <w:t xml:space="preserve">los </w:t>
      </w:r>
      <w:r w:rsidR="009D6D90" w:rsidRPr="0038350D">
        <w:rPr>
          <w:rFonts w:ascii="Cambria" w:hAnsi="Cambria"/>
          <w:lang w:val="es-ES"/>
        </w:rPr>
        <w:t>ensayos clínicos</w:t>
      </w:r>
      <w:r w:rsidR="00AA5CF7">
        <w:rPr>
          <w:rFonts w:ascii="Cambria" w:hAnsi="Cambria"/>
          <w:lang w:val="es-ES"/>
        </w:rPr>
        <w:t xml:space="preserve"> basados en la </w:t>
      </w:r>
      <w:proofErr w:type="spellStart"/>
      <w:r w:rsidR="009D6D90" w:rsidRPr="0038350D">
        <w:rPr>
          <w:rFonts w:ascii="Cambria" w:hAnsi="Cambria"/>
          <w:lang w:val="es-ES"/>
        </w:rPr>
        <w:t>reinfun</w:t>
      </w:r>
      <w:r w:rsidR="00AA5CF7">
        <w:rPr>
          <w:rFonts w:ascii="Cambria" w:hAnsi="Cambria"/>
          <w:lang w:val="es-ES"/>
        </w:rPr>
        <w:t>sión</w:t>
      </w:r>
      <w:proofErr w:type="spellEnd"/>
      <w:r w:rsidR="00AA5CF7">
        <w:rPr>
          <w:rFonts w:ascii="Cambria" w:hAnsi="Cambria"/>
          <w:lang w:val="es-ES"/>
        </w:rPr>
        <w:t xml:space="preserve"> de </w:t>
      </w:r>
      <w:r w:rsidRPr="0038350D">
        <w:rPr>
          <w:rFonts w:ascii="Cambria" w:hAnsi="Cambria"/>
          <w:lang w:val="es-ES"/>
        </w:rPr>
        <w:t xml:space="preserve">las células </w:t>
      </w:r>
      <w:r w:rsidR="00345B91">
        <w:rPr>
          <w:rFonts w:ascii="Cambria" w:hAnsi="Cambria"/>
          <w:lang w:val="es-ES"/>
        </w:rPr>
        <w:t xml:space="preserve">madre </w:t>
      </w:r>
      <w:r w:rsidRPr="0038350D">
        <w:rPr>
          <w:rFonts w:ascii="Cambria" w:hAnsi="Cambria"/>
          <w:lang w:val="es-ES"/>
        </w:rPr>
        <w:t xml:space="preserve">corregidas </w:t>
      </w:r>
      <w:r w:rsidR="00345B91">
        <w:rPr>
          <w:rFonts w:ascii="Cambria" w:hAnsi="Cambria"/>
          <w:lang w:val="es-ES"/>
        </w:rPr>
        <w:t>en los pacientes</w:t>
      </w:r>
      <w:r w:rsidRPr="0038350D">
        <w:rPr>
          <w:rFonts w:ascii="Cambria" w:hAnsi="Cambria"/>
          <w:lang w:val="es-ES"/>
        </w:rPr>
        <w:t xml:space="preserve">. </w:t>
      </w:r>
    </w:p>
    <w:p w14:paraId="43DDE644" w14:textId="77777777" w:rsidR="00312358" w:rsidRPr="0038350D" w:rsidRDefault="00312358" w:rsidP="00312358">
      <w:pPr>
        <w:rPr>
          <w:rFonts w:ascii="Cambria" w:hAnsi="Cambria"/>
          <w:lang w:val="es-ES"/>
        </w:rPr>
      </w:pPr>
    </w:p>
    <w:p w14:paraId="32D79B51" w14:textId="3A87CB3D" w:rsidR="00312358" w:rsidRPr="0038350D" w:rsidRDefault="0038350D" w:rsidP="00E70726">
      <w:pPr>
        <w:rPr>
          <w:rFonts w:ascii="Cambria" w:hAnsi="Cambria"/>
          <w:lang w:val="es-ES"/>
        </w:rPr>
      </w:pPr>
      <w:r w:rsidRPr="0038350D">
        <w:rPr>
          <w:rFonts w:ascii="Cambria" w:hAnsi="Cambria"/>
          <w:lang w:val="es-ES"/>
        </w:rPr>
        <w:t>La designación europea de este medicamento huérfano está promovida</w:t>
      </w:r>
      <w:r w:rsidR="00312358" w:rsidRPr="0038350D">
        <w:rPr>
          <w:rFonts w:ascii="Cambria" w:hAnsi="Cambria"/>
          <w:lang w:val="es-ES"/>
        </w:rPr>
        <w:t xml:space="preserve"> por CIBERER</w:t>
      </w:r>
      <w:r w:rsidR="00AA5CF7">
        <w:rPr>
          <w:rFonts w:ascii="Cambria" w:hAnsi="Cambria"/>
          <w:lang w:val="es-ES"/>
        </w:rPr>
        <w:t xml:space="preserve"> ju</w:t>
      </w:r>
      <w:r w:rsidR="006C663F">
        <w:rPr>
          <w:rFonts w:ascii="Cambria" w:hAnsi="Cambria"/>
          <w:lang w:val="es-ES"/>
        </w:rPr>
        <w:t>nt</w:t>
      </w:r>
      <w:r w:rsidR="00AA5CF7">
        <w:rPr>
          <w:rFonts w:ascii="Cambria" w:hAnsi="Cambria"/>
          <w:lang w:val="es-ES"/>
        </w:rPr>
        <w:t>o con CIEMAT e IIS Fundación Jiménez Díaz</w:t>
      </w:r>
      <w:r w:rsidR="00312358" w:rsidRPr="0038350D">
        <w:rPr>
          <w:rFonts w:ascii="Cambria" w:hAnsi="Cambria"/>
          <w:lang w:val="es-ES"/>
        </w:rPr>
        <w:t xml:space="preserve">. En su desarrollo, han participado también los investigadores </w:t>
      </w:r>
      <w:r w:rsidR="00312358" w:rsidRPr="0038350D">
        <w:rPr>
          <w:rFonts w:ascii="Cambria" w:hAnsi="Cambria"/>
          <w:color w:val="000000" w:themeColor="text1"/>
          <w:lang w:val="es-ES"/>
        </w:rPr>
        <w:t>Yari Gim</w:t>
      </w:r>
      <w:r w:rsidR="00E44C06">
        <w:rPr>
          <w:rFonts w:ascii="Cambria" w:hAnsi="Cambria"/>
          <w:color w:val="000000" w:themeColor="text1"/>
          <w:lang w:val="es-ES"/>
        </w:rPr>
        <w:t>é</w:t>
      </w:r>
      <w:r w:rsidR="00312358" w:rsidRPr="0038350D">
        <w:rPr>
          <w:rFonts w:ascii="Cambria" w:hAnsi="Cambria"/>
          <w:color w:val="000000" w:themeColor="text1"/>
          <w:lang w:val="es-ES"/>
        </w:rPr>
        <w:t xml:space="preserve">nez y Manuel Palacios, de la Unidad de Investigación Biomédica del CIEMAT/CIBERER/IIS-FJD, y diferentes grupos clínicos. </w:t>
      </w:r>
      <w:r w:rsidR="00AA5CF7">
        <w:rPr>
          <w:rFonts w:ascii="Cambria" w:hAnsi="Cambria"/>
          <w:color w:val="000000" w:themeColor="text1"/>
          <w:lang w:val="es-ES"/>
        </w:rPr>
        <w:t>Los estudios desarrollados han sido posible gracias a diferentes cola</w:t>
      </w:r>
      <w:r w:rsidR="006C663F">
        <w:rPr>
          <w:rFonts w:ascii="Cambria" w:hAnsi="Cambria"/>
          <w:color w:val="000000" w:themeColor="text1"/>
          <w:lang w:val="es-ES"/>
        </w:rPr>
        <w:t>bora</w:t>
      </w:r>
      <w:r w:rsidR="00AA5CF7">
        <w:rPr>
          <w:rFonts w:ascii="Cambria" w:hAnsi="Cambria"/>
          <w:color w:val="000000" w:themeColor="text1"/>
          <w:lang w:val="es-ES"/>
        </w:rPr>
        <w:t>ciones entre las que destaca la f</w:t>
      </w:r>
      <w:r w:rsidR="00312358" w:rsidRPr="0038350D">
        <w:rPr>
          <w:rFonts w:ascii="Cambria" w:hAnsi="Cambria"/>
          <w:color w:val="000000" w:themeColor="text1"/>
          <w:lang w:val="es-ES"/>
        </w:rPr>
        <w:t xml:space="preserve">inanciación </w:t>
      </w:r>
      <w:r w:rsidR="009D6D90" w:rsidRPr="0038350D">
        <w:rPr>
          <w:rFonts w:ascii="Cambria" w:hAnsi="Cambria"/>
          <w:color w:val="000000" w:themeColor="text1"/>
          <w:lang w:val="es-ES"/>
        </w:rPr>
        <w:t>de</w:t>
      </w:r>
      <w:r w:rsidR="00312358" w:rsidRPr="0038350D">
        <w:rPr>
          <w:rFonts w:ascii="Cambria" w:hAnsi="Cambria"/>
          <w:color w:val="000000" w:themeColor="text1"/>
          <w:lang w:val="es-ES"/>
        </w:rPr>
        <w:t xml:space="preserve"> </w:t>
      </w:r>
      <w:r w:rsidRPr="0038350D">
        <w:rPr>
          <w:rFonts w:ascii="Cambria" w:hAnsi="Cambria"/>
          <w:color w:val="000000" w:themeColor="text1"/>
          <w:lang w:val="es-ES"/>
        </w:rPr>
        <w:t>un proyecto</w:t>
      </w:r>
      <w:r w:rsidR="00312358" w:rsidRPr="0038350D">
        <w:rPr>
          <w:rFonts w:ascii="Cambria" w:hAnsi="Cambria"/>
          <w:color w:val="000000" w:themeColor="text1"/>
          <w:lang w:val="es-ES"/>
        </w:rPr>
        <w:t xml:space="preserve"> del CIBERER y </w:t>
      </w:r>
      <w:r w:rsidRPr="0038350D">
        <w:rPr>
          <w:rFonts w:ascii="Cambria" w:hAnsi="Cambria"/>
          <w:color w:val="000000" w:themeColor="text1"/>
          <w:lang w:val="es-ES"/>
        </w:rPr>
        <w:t xml:space="preserve">otro </w:t>
      </w:r>
      <w:r w:rsidR="00312358" w:rsidRPr="0038350D">
        <w:rPr>
          <w:rFonts w:ascii="Cambria" w:hAnsi="Cambria"/>
          <w:color w:val="000000" w:themeColor="text1"/>
          <w:lang w:val="es-ES"/>
        </w:rPr>
        <w:t xml:space="preserve">del </w:t>
      </w:r>
      <w:proofErr w:type="spellStart"/>
      <w:r w:rsidR="00312358" w:rsidRPr="0038350D">
        <w:rPr>
          <w:rFonts w:ascii="Cambria" w:hAnsi="Cambria"/>
          <w:color w:val="000000" w:themeColor="text1"/>
          <w:lang w:val="es-ES"/>
        </w:rPr>
        <w:t>European</w:t>
      </w:r>
      <w:proofErr w:type="spellEnd"/>
      <w:r w:rsidR="00312358" w:rsidRPr="0038350D">
        <w:rPr>
          <w:rFonts w:ascii="Cambria" w:hAnsi="Cambria"/>
          <w:color w:val="000000" w:themeColor="text1"/>
          <w:lang w:val="es-ES"/>
        </w:rPr>
        <w:t xml:space="preserve"> </w:t>
      </w:r>
      <w:proofErr w:type="spellStart"/>
      <w:r w:rsidR="00312358" w:rsidRPr="0038350D">
        <w:rPr>
          <w:rFonts w:ascii="Cambria" w:hAnsi="Cambria"/>
          <w:color w:val="000000" w:themeColor="text1"/>
          <w:lang w:val="es-ES"/>
        </w:rPr>
        <w:t>Joint</w:t>
      </w:r>
      <w:proofErr w:type="spellEnd"/>
      <w:r w:rsidR="00312358" w:rsidRPr="0038350D">
        <w:rPr>
          <w:rFonts w:ascii="Cambria" w:hAnsi="Cambria"/>
          <w:color w:val="000000" w:themeColor="text1"/>
          <w:lang w:val="es-ES"/>
        </w:rPr>
        <w:t xml:space="preserve"> </w:t>
      </w:r>
      <w:proofErr w:type="spellStart"/>
      <w:r w:rsidR="00312358" w:rsidRPr="0038350D">
        <w:rPr>
          <w:rFonts w:ascii="Cambria" w:hAnsi="Cambria"/>
          <w:color w:val="000000" w:themeColor="text1"/>
          <w:lang w:val="es-ES"/>
        </w:rPr>
        <w:t>Programme</w:t>
      </w:r>
      <w:proofErr w:type="spellEnd"/>
      <w:r w:rsidR="00312358" w:rsidRPr="0038350D">
        <w:rPr>
          <w:rFonts w:ascii="Cambria" w:hAnsi="Cambria"/>
          <w:color w:val="000000" w:themeColor="text1"/>
          <w:lang w:val="es-ES"/>
        </w:rPr>
        <w:t xml:space="preserve"> </w:t>
      </w:r>
      <w:proofErr w:type="spellStart"/>
      <w:r w:rsidR="00312358" w:rsidRPr="0038350D">
        <w:rPr>
          <w:rFonts w:ascii="Cambria" w:hAnsi="Cambria"/>
          <w:color w:val="000000" w:themeColor="text1"/>
          <w:lang w:val="es-ES"/>
        </w:rPr>
        <w:t>on</w:t>
      </w:r>
      <w:proofErr w:type="spellEnd"/>
      <w:r w:rsidR="00312358" w:rsidRPr="0038350D">
        <w:rPr>
          <w:rFonts w:ascii="Cambria" w:hAnsi="Cambria"/>
          <w:color w:val="000000" w:themeColor="text1"/>
          <w:lang w:val="es-ES"/>
        </w:rPr>
        <w:t xml:space="preserve"> Rare </w:t>
      </w:r>
      <w:proofErr w:type="spellStart"/>
      <w:r w:rsidR="00312358" w:rsidRPr="0038350D">
        <w:rPr>
          <w:rFonts w:ascii="Cambria" w:hAnsi="Cambria"/>
          <w:color w:val="000000" w:themeColor="text1"/>
          <w:lang w:val="es-ES"/>
        </w:rPr>
        <w:t>Diseases</w:t>
      </w:r>
      <w:proofErr w:type="spellEnd"/>
      <w:r w:rsidR="00312358" w:rsidRPr="0038350D">
        <w:rPr>
          <w:rFonts w:ascii="Cambria" w:hAnsi="Cambria"/>
          <w:color w:val="000000" w:themeColor="text1"/>
          <w:lang w:val="es-ES"/>
        </w:rPr>
        <w:t xml:space="preserve"> (EJPRD)</w:t>
      </w:r>
      <w:r w:rsidR="0041382C">
        <w:rPr>
          <w:rFonts w:ascii="Cambria" w:hAnsi="Cambria"/>
          <w:color w:val="000000" w:themeColor="text1"/>
          <w:lang w:val="es-ES"/>
        </w:rPr>
        <w:t xml:space="preserve"> del H2020</w:t>
      </w:r>
      <w:r w:rsidR="00312358" w:rsidRPr="0038350D">
        <w:rPr>
          <w:rFonts w:ascii="Cambria" w:hAnsi="Cambria"/>
          <w:color w:val="000000" w:themeColor="text1"/>
          <w:lang w:val="es-ES"/>
        </w:rPr>
        <w:t>.</w:t>
      </w:r>
    </w:p>
    <w:p w14:paraId="146E3963" w14:textId="77777777" w:rsidR="00312358" w:rsidRPr="0038350D" w:rsidRDefault="00312358" w:rsidP="00E70726">
      <w:pPr>
        <w:rPr>
          <w:rFonts w:ascii="Cambria" w:hAnsi="Cambria"/>
          <w:lang w:val="es-ES"/>
        </w:rPr>
      </w:pPr>
    </w:p>
    <w:p w14:paraId="639C3EF7" w14:textId="77777777" w:rsidR="00312358" w:rsidRPr="0038350D" w:rsidRDefault="00312358" w:rsidP="00E70726">
      <w:pPr>
        <w:rPr>
          <w:rFonts w:ascii="Cambria" w:hAnsi="Cambria"/>
          <w:lang w:val="es-ES"/>
        </w:rPr>
      </w:pPr>
    </w:p>
    <w:p w14:paraId="7C2865D0" w14:textId="77777777" w:rsidR="00312358" w:rsidRPr="0038350D" w:rsidRDefault="00312358" w:rsidP="00E70726">
      <w:pPr>
        <w:pStyle w:val="BodyA"/>
        <w:spacing w:line="240" w:lineRule="auto"/>
        <w:rPr>
          <w:rFonts w:ascii="Cambria" w:eastAsia="Cambria" w:hAnsi="Cambria" w:cs="Cambria"/>
          <w:b/>
          <w:bCs/>
          <w:i/>
          <w:iCs/>
          <w:kern w:val="1"/>
          <w:sz w:val="24"/>
          <w:szCs w:val="24"/>
        </w:rPr>
      </w:pPr>
      <w:r w:rsidRPr="0038350D">
        <w:rPr>
          <w:rFonts w:ascii="Cambria" w:hAnsi="Cambria"/>
          <w:b/>
          <w:bCs/>
          <w:i/>
          <w:iCs/>
          <w:kern w:val="1"/>
          <w:sz w:val="24"/>
          <w:szCs w:val="24"/>
        </w:rPr>
        <w:t xml:space="preserve">El CIBERER, promotor de 14 medicamentos </w:t>
      </w:r>
      <w:proofErr w:type="spellStart"/>
      <w:r w:rsidRPr="0038350D">
        <w:rPr>
          <w:rFonts w:ascii="Cambria" w:hAnsi="Cambria"/>
          <w:b/>
          <w:bCs/>
          <w:i/>
          <w:iCs/>
          <w:kern w:val="1"/>
          <w:sz w:val="24"/>
          <w:szCs w:val="24"/>
        </w:rPr>
        <w:t>hué</w:t>
      </w:r>
      <w:proofErr w:type="spellEnd"/>
      <w:r w:rsidRPr="0038350D">
        <w:rPr>
          <w:rFonts w:ascii="Cambria" w:hAnsi="Cambria"/>
          <w:b/>
          <w:bCs/>
          <w:i/>
          <w:iCs/>
          <w:kern w:val="1"/>
          <w:sz w:val="24"/>
          <w:szCs w:val="24"/>
          <w:lang w:val="it-IT"/>
        </w:rPr>
        <w:t>rfanos</w:t>
      </w:r>
    </w:p>
    <w:p w14:paraId="34D6E5D5" w14:textId="77777777" w:rsidR="00312358" w:rsidRDefault="00312358" w:rsidP="00E70726">
      <w:pPr>
        <w:pStyle w:val="BodyA"/>
        <w:spacing w:line="240" w:lineRule="auto"/>
        <w:rPr>
          <w:rFonts w:ascii="Cambria" w:eastAsia="Cambria" w:hAnsi="Cambria" w:cs="Cambria"/>
          <w:kern w:val="1"/>
          <w:sz w:val="24"/>
          <w:szCs w:val="24"/>
        </w:rPr>
      </w:pPr>
      <w:r w:rsidRPr="0038350D">
        <w:rPr>
          <w:rFonts w:ascii="Cambria" w:hAnsi="Cambria"/>
          <w:kern w:val="1"/>
          <w:sz w:val="24"/>
          <w:szCs w:val="24"/>
        </w:rPr>
        <w:t>Con esta nueva designación, el CIBERER ha promovido ya </w:t>
      </w:r>
      <w:r w:rsidRPr="0038350D">
        <w:rPr>
          <w:rFonts w:ascii="Cambria" w:hAnsi="Cambria"/>
          <w:kern w:val="1"/>
          <w:sz w:val="24"/>
          <w:szCs w:val="24"/>
          <w:lang w:val="pt-PT"/>
        </w:rPr>
        <w:t>14 medicamentos hu</w:t>
      </w:r>
      <w:r w:rsidRPr="0038350D">
        <w:rPr>
          <w:rFonts w:ascii="Cambria" w:hAnsi="Cambria"/>
          <w:kern w:val="1"/>
          <w:sz w:val="24"/>
          <w:szCs w:val="24"/>
        </w:rPr>
        <w:t>é</w:t>
      </w:r>
      <w:r w:rsidRPr="0038350D">
        <w:rPr>
          <w:rFonts w:ascii="Cambria" w:hAnsi="Cambria"/>
          <w:kern w:val="1"/>
          <w:sz w:val="24"/>
          <w:szCs w:val="24"/>
          <w:lang w:val="it-IT"/>
        </w:rPr>
        <w:t>rfanos</w:t>
      </w:r>
      <w:r w:rsidRPr="0038350D">
        <w:rPr>
          <w:rFonts w:ascii="Cambria" w:hAnsi="Cambria"/>
          <w:kern w:val="1"/>
          <w:sz w:val="24"/>
          <w:szCs w:val="24"/>
        </w:rPr>
        <w:t> designados por la EMA, cuatro de los cuales también han sido designados</w:t>
      </w:r>
      <w:r>
        <w:rPr>
          <w:rFonts w:ascii="Cambria" w:hAnsi="Cambria"/>
          <w:kern w:val="1"/>
          <w:sz w:val="24"/>
          <w:szCs w:val="24"/>
        </w:rPr>
        <w:t xml:space="preserve"> como tales por la agencia americana (FDA).</w:t>
      </w:r>
    </w:p>
    <w:p w14:paraId="333BED3A" w14:textId="77777777" w:rsidR="00312358" w:rsidRDefault="00312358" w:rsidP="00E70726">
      <w:pPr>
        <w:pStyle w:val="BodyA"/>
        <w:spacing w:line="240" w:lineRule="auto"/>
        <w:rPr>
          <w:rFonts w:ascii="Cambria" w:hAnsi="Cambria"/>
          <w:kern w:val="1"/>
          <w:sz w:val="24"/>
          <w:szCs w:val="24"/>
        </w:rPr>
      </w:pPr>
      <w:r>
        <w:rPr>
          <w:rFonts w:ascii="Cambria" w:hAnsi="Cambria"/>
          <w:kern w:val="1"/>
          <w:sz w:val="24"/>
          <w:szCs w:val="24"/>
        </w:rPr>
        <w:t>Seis de estos medicamentos corresponden a terapia génica y los otros ocho son reposicionamientos, es decir, fármacos que ya se utilizan para otras patologías que están siendo evaluados para su uso en alguna enfermedad rara.</w:t>
      </w:r>
    </w:p>
    <w:p w14:paraId="1D08A38A" w14:textId="77777777" w:rsidR="00312358" w:rsidRDefault="00312358" w:rsidP="00E70726">
      <w:pPr>
        <w:pStyle w:val="BodyA"/>
        <w:spacing w:line="240" w:lineRule="auto"/>
        <w:rPr>
          <w:rFonts w:ascii="Cambria" w:eastAsia="Cambria" w:hAnsi="Cambria" w:cs="Cambria"/>
          <w:kern w:val="1"/>
          <w:sz w:val="24"/>
          <w:szCs w:val="24"/>
        </w:rPr>
      </w:pPr>
    </w:p>
    <w:p w14:paraId="6F7693F6" w14:textId="77777777" w:rsidR="00312358" w:rsidRDefault="00312358" w:rsidP="00E70726">
      <w:pPr>
        <w:pStyle w:val="BodyA"/>
        <w:spacing w:line="240" w:lineRule="auto"/>
        <w:rPr>
          <w:rFonts w:ascii="Cambria" w:eastAsia="Cambria" w:hAnsi="Cambria" w:cs="Cambria"/>
          <w:b/>
          <w:bCs/>
          <w:i/>
          <w:iCs/>
          <w:kern w:val="1"/>
          <w:sz w:val="24"/>
          <w:szCs w:val="24"/>
        </w:rPr>
      </w:pPr>
      <w:r>
        <w:rPr>
          <w:rFonts w:ascii="Cambria" w:hAnsi="Cambria"/>
          <w:b/>
          <w:bCs/>
          <w:i/>
          <w:iCs/>
          <w:kern w:val="1"/>
          <w:sz w:val="24"/>
          <w:szCs w:val="24"/>
        </w:rPr>
        <w:t xml:space="preserve">Beneficios de la designación como medicamento </w:t>
      </w:r>
      <w:proofErr w:type="spellStart"/>
      <w:r>
        <w:rPr>
          <w:rFonts w:ascii="Cambria" w:hAnsi="Cambria"/>
          <w:b/>
          <w:bCs/>
          <w:i/>
          <w:iCs/>
          <w:kern w:val="1"/>
          <w:sz w:val="24"/>
          <w:szCs w:val="24"/>
        </w:rPr>
        <w:t>hué</w:t>
      </w:r>
      <w:proofErr w:type="spellEnd"/>
      <w:r>
        <w:rPr>
          <w:rFonts w:ascii="Cambria" w:hAnsi="Cambria"/>
          <w:b/>
          <w:bCs/>
          <w:i/>
          <w:iCs/>
          <w:kern w:val="1"/>
          <w:sz w:val="24"/>
          <w:szCs w:val="24"/>
          <w:lang w:val="it-IT"/>
        </w:rPr>
        <w:t>rfano</w:t>
      </w:r>
    </w:p>
    <w:p w14:paraId="3317325D" w14:textId="77777777" w:rsidR="0035207F" w:rsidRDefault="00312358" w:rsidP="00E70726">
      <w:pPr>
        <w:pStyle w:val="BodyA"/>
        <w:spacing w:line="240" w:lineRule="auto"/>
        <w:rPr>
          <w:rFonts w:ascii="Cambria" w:hAnsi="Cambria"/>
          <w:kern w:val="1"/>
          <w:sz w:val="24"/>
          <w:szCs w:val="24"/>
        </w:rPr>
      </w:pPr>
      <w:r>
        <w:rPr>
          <w:rFonts w:ascii="Cambria" w:hAnsi="Cambria"/>
          <w:kern w:val="1"/>
          <w:sz w:val="24"/>
          <w:szCs w:val="24"/>
        </w:rPr>
        <w:t>La designación como medicamento huérfano por parte de la EMA tiene ventajas como la de recibir una autorización de comercialización durante diez años, en los que no pueden comercializarse productos similares. También disponer de protocolos de asistencia y consejo científico gratuitos o con un coste reducido, además de la exención de pagos para la designación. Finalmente, las entidades que desarrollan medicamentos huérfanos tienen acceso a subvenciones específicas de la Unión Europea y de los programas de los estados miembros.</w:t>
      </w:r>
    </w:p>
    <w:p w14:paraId="1BF3E624" w14:textId="77777777" w:rsidR="00DB3CFC" w:rsidRDefault="00DB3CFC" w:rsidP="00E70726">
      <w:pPr>
        <w:pStyle w:val="BodyA"/>
        <w:spacing w:line="240" w:lineRule="auto"/>
        <w:rPr>
          <w:rFonts w:ascii="Cambria" w:hAnsi="Cambria"/>
          <w:kern w:val="1"/>
          <w:sz w:val="24"/>
          <w:szCs w:val="24"/>
        </w:rPr>
      </w:pPr>
    </w:p>
    <w:p w14:paraId="76D0AA13" w14:textId="77777777" w:rsidR="00DB3CFC" w:rsidRPr="00312358" w:rsidRDefault="00DB3CFC" w:rsidP="00E70726">
      <w:pPr>
        <w:pStyle w:val="BodyA"/>
        <w:spacing w:line="240" w:lineRule="auto"/>
        <w:rPr>
          <w:rFonts w:ascii="Cambria" w:eastAsia="Cambria" w:hAnsi="Cambria" w:cs="Cambria"/>
          <w:kern w:val="1"/>
          <w:sz w:val="24"/>
          <w:szCs w:val="24"/>
        </w:rPr>
      </w:pPr>
      <w:r w:rsidRPr="00DB3CFC">
        <w:rPr>
          <w:rFonts w:ascii="Cambria" w:hAnsi="Cambria"/>
          <w:b/>
          <w:bCs/>
          <w:i/>
          <w:iCs/>
          <w:kern w:val="1"/>
          <w:sz w:val="24"/>
          <w:szCs w:val="24"/>
          <w:u w:val="single"/>
        </w:rPr>
        <w:t>Pie de foto:</w:t>
      </w:r>
      <w:r>
        <w:rPr>
          <w:rFonts w:ascii="Cambria" w:hAnsi="Cambria"/>
          <w:kern w:val="1"/>
          <w:sz w:val="24"/>
          <w:szCs w:val="24"/>
        </w:rPr>
        <w:t xml:space="preserve"> Manuel Palacios, Susana Navarro, Juan Bueren y Yari Giménez.</w:t>
      </w:r>
    </w:p>
    <w:p w14:paraId="3E19812E" w14:textId="77777777" w:rsidR="00DB3CFC" w:rsidRDefault="00DB3CFC" w:rsidP="00E70726">
      <w:pPr>
        <w:rPr>
          <w:rFonts w:ascii="Cambria" w:hAnsi="Cambria"/>
          <w:b/>
          <w:i/>
          <w:color w:val="000000" w:themeColor="text1"/>
          <w:kern w:val="1"/>
          <w:lang w:val="es-ES_tradnl"/>
        </w:rPr>
      </w:pPr>
    </w:p>
    <w:p w14:paraId="737D994D" w14:textId="77777777" w:rsidR="0035207F" w:rsidRPr="00D34A01" w:rsidRDefault="0035207F" w:rsidP="00E70726">
      <w:pPr>
        <w:rPr>
          <w:rFonts w:ascii="Cambria" w:hAnsi="Cambria"/>
          <w:b/>
          <w:i/>
          <w:color w:val="000000" w:themeColor="text1"/>
          <w:kern w:val="1"/>
          <w:lang w:val="es-ES_tradnl"/>
        </w:rPr>
      </w:pPr>
      <w:r w:rsidRPr="00D34A01">
        <w:rPr>
          <w:rFonts w:ascii="Cambria" w:hAnsi="Cambria"/>
          <w:b/>
          <w:i/>
          <w:color w:val="000000" w:themeColor="text1"/>
          <w:kern w:val="1"/>
          <w:lang w:val="es-ES_tradnl"/>
        </w:rPr>
        <w:lastRenderedPageBreak/>
        <w:t>Sobre CIBERER</w:t>
      </w:r>
    </w:p>
    <w:p w14:paraId="346F05C6" w14:textId="77777777" w:rsidR="0035207F" w:rsidRDefault="0035207F" w:rsidP="00E70726">
      <w:pPr>
        <w:rPr>
          <w:rFonts w:ascii="Cambria" w:hAnsi="Cambria"/>
          <w:bCs/>
          <w:color w:val="000000" w:themeColor="text1"/>
          <w:kern w:val="1"/>
          <w:lang w:val="es-ES_tradnl"/>
        </w:rPr>
      </w:pPr>
    </w:p>
    <w:p w14:paraId="223D5EDD" w14:textId="77777777" w:rsidR="0035207F" w:rsidRPr="0035207F" w:rsidRDefault="0035207F" w:rsidP="00E70726">
      <w:pPr>
        <w:rPr>
          <w:rStyle w:val="None"/>
          <w:rFonts w:ascii="Cambria" w:hAnsi="Cambria"/>
          <w:bCs/>
          <w:color w:val="000000" w:themeColor="text1"/>
          <w:kern w:val="1"/>
          <w:u w:val="single"/>
          <w:lang w:val="es-ES_tradnl"/>
        </w:rPr>
      </w:pPr>
      <w:r w:rsidRPr="00D34A01">
        <w:rPr>
          <w:rFonts w:ascii="Cambria" w:hAnsi="Cambria"/>
          <w:bCs/>
          <w:color w:val="000000" w:themeColor="text1"/>
          <w:kern w:val="1"/>
          <w:lang w:val="es-ES_tradnl"/>
        </w:rPr>
        <w:t>El Centro de Investigación Biomédica en Red (CIBER) es un consorcio dependiente del Instituto de Salud Carlos III (Ministerio de Ciencia</w:t>
      </w:r>
      <w:r>
        <w:rPr>
          <w:rFonts w:ascii="Cambria" w:hAnsi="Cambria"/>
          <w:bCs/>
          <w:color w:val="000000" w:themeColor="text1"/>
          <w:kern w:val="1"/>
          <w:lang w:val="es-ES_tradnl"/>
        </w:rPr>
        <w:t xml:space="preserve"> e</w:t>
      </w:r>
      <w:r w:rsidRPr="00D34A01">
        <w:rPr>
          <w:rFonts w:ascii="Cambria" w:hAnsi="Cambria"/>
          <w:bCs/>
          <w:color w:val="000000" w:themeColor="text1"/>
          <w:kern w:val="1"/>
          <w:lang w:val="es-ES_tradnl"/>
        </w:rPr>
        <w:t xml:space="preserve"> Innovación) y está cofinanciado por el Fondo Europeo de Desarrollo Regional (FEDER). El CIBER en su Área Temática de Enfermedades Raras (CIBERER) es el centro de referencia en España en investigación sobre enfermedades raras. Su principal objetivo es coordinar y favorecer la investigación básica, clínica y epidemiológica, así como potenciar que la investigación que se desarrolla en los laboratorios llegue al paciente, y dé </w:t>
      </w:r>
      <w:r w:rsidRPr="00D34A01">
        <w:rPr>
          <w:rFonts w:ascii="Cambria" w:hAnsi="Cambria"/>
          <w:bCs/>
          <w:kern w:val="1"/>
          <w:lang w:val="es-ES_tradnl"/>
        </w:rPr>
        <w:t xml:space="preserve">respuestas científicas a las preguntas nacidas de la interacción entre médicos y pacientes. El CIBERER se compone de un equipo humano de más de 700 profesionales e integra a </w:t>
      </w:r>
      <w:r>
        <w:rPr>
          <w:rFonts w:ascii="Cambria" w:hAnsi="Cambria"/>
          <w:bCs/>
          <w:color w:val="000000" w:themeColor="text1"/>
          <w:kern w:val="1"/>
          <w:lang w:val="es-ES_tradnl"/>
        </w:rPr>
        <w:t>57</w:t>
      </w:r>
      <w:r w:rsidRPr="00D34A01">
        <w:rPr>
          <w:rFonts w:ascii="Cambria" w:hAnsi="Cambria"/>
          <w:bCs/>
          <w:color w:val="000000" w:themeColor="text1"/>
          <w:kern w:val="1"/>
          <w:lang w:val="es-ES_tradnl"/>
        </w:rPr>
        <w:t xml:space="preserve"> grupos de investigación. Además, cuenta con </w:t>
      </w:r>
      <w:r>
        <w:rPr>
          <w:rFonts w:ascii="Cambria" w:hAnsi="Cambria"/>
          <w:bCs/>
          <w:color w:val="000000" w:themeColor="text1"/>
          <w:kern w:val="1"/>
          <w:lang w:val="es-ES_tradnl"/>
        </w:rPr>
        <w:t xml:space="preserve">18 </w:t>
      </w:r>
      <w:r w:rsidRPr="00D34A01">
        <w:rPr>
          <w:rFonts w:ascii="Cambria" w:hAnsi="Cambria"/>
          <w:bCs/>
          <w:color w:val="000000" w:themeColor="text1"/>
          <w:kern w:val="1"/>
          <w:lang w:val="es-ES_tradnl"/>
        </w:rPr>
        <w:t xml:space="preserve">grupos clínicos vinculados. </w:t>
      </w:r>
      <w:hyperlink r:id="rId7" w:history="1">
        <w:r w:rsidRPr="00D34A01">
          <w:rPr>
            <w:rStyle w:val="Hipervnculo"/>
            <w:rFonts w:ascii="Cambria" w:hAnsi="Cambria"/>
            <w:bCs/>
            <w:color w:val="000000" w:themeColor="text1"/>
            <w:kern w:val="1"/>
            <w:lang w:val="es-ES_tradnl"/>
          </w:rPr>
          <w:t>www.ciberer.es</w:t>
        </w:r>
      </w:hyperlink>
    </w:p>
    <w:p w14:paraId="276D0746" w14:textId="77777777" w:rsidR="007D788F" w:rsidRDefault="007D788F" w:rsidP="00E70726">
      <w:pPr>
        <w:pStyle w:val="BodyA"/>
        <w:spacing w:after="120" w:line="240" w:lineRule="auto"/>
        <w:jc w:val="both"/>
        <w:rPr>
          <w:rStyle w:val="None"/>
          <w:rFonts w:ascii="Cambria" w:eastAsia="Cambria" w:hAnsi="Cambria" w:cs="Cambria"/>
          <w:kern w:val="1"/>
          <w:sz w:val="24"/>
          <w:szCs w:val="24"/>
          <w:u w:val="single"/>
        </w:rPr>
      </w:pPr>
    </w:p>
    <w:sectPr w:rsidR="007D788F" w:rsidSect="00220CC7">
      <w:headerReference w:type="default" r:id="rId8"/>
      <w:pgSz w:w="11900" w:h="16840"/>
      <w:pgMar w:top="1985"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FFB3" w14:textId="77777777" w:rsidR="009D1E10" w:rsidRDefault="009D1E10">
      <w:r>
        <w:separator/>
      </w:r>
    </w:p>
  </w:endnote>
  <w:endnote w:type="continuationSeparator" w:id="0">
    <w:p w14:paraId="55EB448D" w14:textId="77777777" w:rsidR="009D1E10" w:rsidRDefault="009D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38AE" w14:textId="77777777" w:rsidR="009D1E10" w:rsidRDefault="009D1E10">
      <w:r>
        <w:separator/>
      </w:r>
    </w:p>
  </w:footnote>
  <w:footnote w:type="continuationSeparator" w:id="0">
    <w:p w14:paraId="41E7CD53" w14:textId="77777777" w:rsidR="009D1E10" w:rsidRDefault="009D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C41B" w14:textId="77777777" w:rsidR="00662BD9" w:rsidRDefault="005F372D">
    <w:pPr>
      <w:pStyle w:val="Encabezado"/>
      <w:tabs>
        <w:tab w:val="clear" w:pos="8504"/>
        <w:tab w:val="right" w:pos="8478"/>
      </w:tabs>
      <w:jc w:val="right"/>
    </w:pPr>
    <w:r>
      <w:rPr>
        <w:noProof/>
        <w:lang w:val="es-ES"/>
      </w:rPr>
      <w:drawing>
        <wp:anchor distT="0" distB="0" distL="114300" distR="114300" simplePos="0" relativeHeight="251659264" behindDoc="0" locked="0" layoutInCell="1" allowOverlap="1" wp14:anchorId="49726BD5" wp14:editId="459F9E4C">
          <wp:simplePos x="0" y="0"/>
          <wp:positionH relativeFrom="column">
            <wp:posOffset>952131</wp:posOffset>
          </wp:positionH>
          <wp:positionV relativeFrom="paragraph">
            <wp:posOffset>-8890</wp:posOffset>
          </wp:positionV>
          <wp:extent cx="1440000" cy="514800"/>
          <wp:effectExtent l="0" t="0" r="0" b="6350"/>
          <wp:wrapNone/>
          <wp:docPr id="1073741825"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000" cy="514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35E62">
      <w:rPr>
        <w:noProof/>
        <w:lang w:val="es-ES"/>
      </w:rPr>
      <w:drawing>
        <wp:anchor distT="0" distB="0" distL="114300" distR="114300" simplePos="0" relativeHeight="251661312" behindDoc="0" locked="0" layoutInCell="1" allowOverlap="1" wp14:anchorId="1788B43C" wp14:editId="7277277A">
          <wp:simplePos x="0" y="0"/>
          <wp:positionH relativeFrom="column">
            <wp:posOffset>3265524</wp:posOffset>
          </wp:positionH>
          <wp:positionV relativeFrom="paragraph">
            <wp:posOffset>0</wp:posOffset>
          </wp:positionV>
          <wp:extent cx="1688465" cy="447675"/>
          <wp:effectExtent l="0" t="0" r="6985" b="9525"/>
          <wp:wrapNone/>
          <wp:docPr id="6" name="Imagen 6"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sidR="00335E62">
      <w:rPr>
        <w:noProof/>
        <w:lang w:val="es-ES"/>
      </w:rPr>
      <w:drawing>
        <wp:anchor distT="0" distB="0" distL="114300" distR="114300" simplePos="0" relativeHeight="251662336" behindDoc="0" locked="0" layoutInCell="1" allowOverlap="1" wp14:anchorId="603270AC" wp14:editId="0A197258">
          <wp:simplePos x="0" y="0"/>
          <wp:positionH relativeFrom="column">
            <wp:posOffset>5064819</wp:posOffset>
          </wp:positionH>
          <wp:positionV relativeFrom="paragraph">
            <wp:posOffset>163</wp:posOffset>
          </wp:positionV>
          <wp:extent cx="622800" cy="504000"/>
          <wp:effectExtent l="0" t="0" r="0" b="4445"/>
          <wp:wrapNone/>
          <wp:docPr id="1073741826" name="officeArt object" descr="Imagen 6"/>
          <wp:cNvGraphicFramePr/>
          <a:graphic xmlns:a="http://schemas.openxmlformats.org/drawingml/2006/main">
            <a:graphicData uri="http://schemas.openxmlformats.org/drawingml/2006/picture">
              <pic:pic xmlns:pic="http://schemas.openxmlformats.org/drawingml/2006/picture">
                <pic:nvPicPr>
                  <pic:cNvPr id="1073741826" name="Imagen 6" descr="Imagen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6228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35E62">
      <w:rPr>
        <w:noProof/>
        <w:lang w:val="es-ES"/>
      </w:rPr>
      <w:drawing>
        <wp:anchor distT="152400" distB="152400" distL="152400" distR="152400" simplePos="0" relativeHeight="251658240" behindDoc="0" locked="0" layoutInCell="1" allowOverlap="1" wp14:anchorId="0D44571D" wp14:editId="11CEAF68">
          <wp:simplePos x="0" y="0"/>
          <wp:positionH relativeFrom="page">
            <wp:posOffset>722630</wp:posOffset>
          </wp:positionH>
          <wp:positionV relativeFrom="page">
            <wp:posOffset>372110</wp:posOffset>
          </wp:positionV>
          <wp:extent cx="1159200" cy="633600"/>
          <wp:effectExtent l="0" t="0" r="0" b="1905"/>
          <wp:wrapNone/>
          <wp:docPr id="1073741827" name="officeArt object" descr="Imagen 1"/>
          <wp:cNvGraphicFramePr/>
          <a:graphic xmlns:a="http://schemas.openxmlformats.org/drawingml/2006/main">
            <a:graphicData uri="http://schemas.openxmlformats.org/drawingml/2006/picture">
              <pic:pic xmlns:pic="http://schemas.openxmlformats.org/drawingml/2006/picture">
                <pic:nvPicPr>
                  <pic:cNvPr id="1073741827" name="Imagen 1" descr="Imagen 1"/>
                  <pic:cNvPicPr>
                    <a:picLocks noChangeAspect="1"/>
                  </pic:cNvPicPr>
                </pic:nvPicPr>
                <pic:blipFill>
                  <a:blip r:embed="rId4"/>
                  <a:stretch>
                    <a:fillRect/>
                  </a:stretch>
                </pic:blipFill>
                <pic:spPr>
                  <a:xfrm>
                    <a:off x="0" y="0"/>
                    <a:ext cx="1159200" cy="633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8F1EC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3BF"/>
    <w:multiLevelType w:val="hybridMultilevel"/>
    <w:tmpl w:val="5A3AF68A"/>
    <w:numStyleLink w:val="ImportedStyle1"/>
  </w:abstractNum>
  <w:abstractNum w:abstractNumId="1" w15:restartNumberingAfterBreak="0">
    <w:nsid w:val="634F2C3F"/>
    <w:multiLevelType w:val="hybridMultilevel"/>
    <w:tmpl w:val="5A3AF68A"/>
    <w:styleLink w:val="ImportedStyle1"/>
    <w:lvl w:ilvl="0" w:tplc="BC36E6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9A5D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B68F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10CE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8E0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0E6F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1A0C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328A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46BC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D9"/>
    <w:rsid w:val="00156C42"/>
    <w:rsid w:val="001C1BFB"/>
    <w:rsid w:val="001C52ED"/>
    <w:rsid w:val="00220CC7"/>
    <w:rsid w:val="002E6C07"/>
    <w:rsid w:val="002F2414"/>
    <w:rsid w:val="00304306"/>
    <w:rsid w:val="00312358"/>
    <w:rsid w:val="00335E62"/>
    <w:rsid w:val="00345B91"/>
    <w:rsid w:val="0035207F"/>
    <w:rsid w:val="0038350D"/>
    <w:rsid w:val="0041382C"/>
    <w:rsid w:val="004440D1"/>
    <w:rsid w:val="004668A0"/>
    <w:rsid w:val="005A3F2D"/>
    <w:rsid w:val="005F372D"/>
    <w:rsid w:val="00662BD9"/>
    <w:rsid w:val="00676D99"/>
    <w:rsid w:val="006A1287"/>
    <w:rsid w:val="006C2EBA"/>
    <w:rsid w:val="006C663F"/>
    <w:rsid w:val="007534E4"/>
    <w:rsid w:val="007D46AC"/>
    <w:rsid w:val="007D788F"/>
    <w:rsid w:val="007E32DA"/>
    <w:rsid w:val="007F2564"/>
    <w:rsid w:val="0081736E"/>
    <w:rsid w:val="0089085B"/>
    <w:rsid w:val="008A4551"/>
    <w:rsid w:val="008F1ECD"/>
    <w:rsid w:val="008F3993"/>
    <w:rsid w:val="00902498"/>
    <w:rsid w:val="00965330"/>
    <w:rsid w:val="009A015C"/>
    <w:rsid w:val="009D1E10"/>
    <w:rsid w:val="009D6D90"/>
    <w:rsid w:val="00A43E3E"/>
    <w:rsid w:val="00A8227B"/>
    <w:rsid w:val="00AA06D2"/>
    <w:rsid w:val="00AA5CF7"/>
    <w:rsid w:val="00AB1180"/>
    <w:rsid w:val="00B244B8"/>
    <w:rsid w:val="00B41327"/>
    <w:rsid w:val="00B75A3D"/>
    <w:rsid w:val="00BB1C7A"/>
    <w:rsid w:val="00BC1137"/>
    <w:rsid w:val="00BE1B86"/>
    <w:rsid w:val="00C621B0"/>
    <w:rsid w:val="00C95EF5"/>
    <w:rsid w:val="00CE031D"/>
    <w:rsid w:val="00CF66A3"/>
    <w:rsid w:val="00D419E5"/>
    <w:rsid w:val="00D65F5B"/>
    <w:rsid w:val="00DB3CFC"/>
    <w:rsid w:val="00DE3973"/>
    <w:rsid w:val="00E34EFC"/>
    <w:rsid w:val="00E44C06"/>
    <w:rsid w:val="00E70726"/>
    <w:rsid w:val="00ED6D95"/>
    <w:rsid w:val="00FA3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1679"/>
  <w15:docId w15:val="{CE45D712-2288-4DC2-A2D5-967D9695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2"/>
      <w:szCs w:val="22"/>
      <w:u w:color="000000"/>
      <w:lang w:val="es-ES_tradnl"/>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styleId="Prrafodelista">
    <w:name w:val="List Paragraph"/>
    <w:pPr>
      <w:spacing w:after="200" w:line="276" w:lineRule="auto"/>
      <w:ind w:left="720"/>
    </w:pPr>
    <w:rPr>
      <w:rFonts w:ascii="Calibri" w:hAnsi="Calibri" w:cs="Arial Unicode MS"/>
      <w:color w:val="000000"/>
      <w:sz w:val="22"/>
      <w:szCs w:val="22"/>
      <w:u w:color="000000"/>
      <w:lang w:val="es-ES_tradnl"/>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s-ES_tradnl"/>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mbria" w:eastAsia="Cambria" w:hAnsi="Cambria" w:cs="Cambria"/>
      <w:outline w:val="0"/>
      <w:color w:val="000000"/>
      <w:kern w:val="1"/>
      <w:sz w:val="24"/>
      <w:szCs w:val="24"/>
      <w:u w:val="single" w:color="000000"/>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8173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xtodeglobo">
    <w:name w:val="Balloon Text"/>
    <w:basedOn w:val="Normal"/>
    <w:link w:val="TextodegloboCar"/>
    <w:uiPriority w:val="99"/>
    <w:semiHidden/>
    <w:unhideWhenUsed/>
    <w:rsid w:val="007F25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564"/>
    <w:rPr>
      <w:rFonts w:ascii="Segoe UI" w:hAnsi="Segoe UI" w:cs="Segoe UI"/>
      <w:sz w:val="18"/>
      <w:szCs w:val="18"/>
      <w:lang w:val="en-US" w:eastAsia="en-US"/>
    </w:rPr>
  </w:style>
  <w:style w:type="paragraph" w:styleId="Piedepgina">
    <w:name w:val="footer"/>
    <w:basedOn w:val="Normal"/>
    <w:link w:val="PiedepginaCar"/>
    <w:uiPriority w:val="99"/>
    <w:unhideWhenUsed/>
    <w:rsid w:val="00335E62"/>
    <w:pPr>
      <w:tabs>
        <w:tab w:val="center" w:pos="4419"/>
        <w:tab w:val="right" w:pos="8838"/>
      </w:tabs>
    </w:pPr>
  </w:style>
  <w:style w:type="character" w:customStyle="1" w:styleId="PiedepginaCar">
    <w:name w:val="Pie de página Car"/>
    <w:basedOn w:val="Fuentedeprrafopredeter"/>
    <w:link w:val="Piedepgina"/>
    <w:uiPriority w:val="99"/>
    <w:rsid w:val="00335E62"/>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DE3973"/>
    <w:rPr>
      <w:b/>
      <w:bCs/>
    </w:rPr>
  </w:style>
  <w:style w:type="character" w:customStyle="1" w:styleId="AsuntodelcomentarioCar">
    <w:name w:val="Asunto del comentario Car"/>
    <w:basedOn w:val="TextocomentarioCar"/>
    <w:link w:val="Asuntodelcomentario"/>
    <w:uiPriority w:val="99"/>
    <w:semiHidden/>
    <w:rsid w:val="00DE397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bere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4678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Jesús Delgado Chamorro</dc:creator>
  <cp:lastModifiedBy>Navarro, Begoña [Ciberisciii]</cp:lastModifiedBy>
  <cp:revision>2</cp:revision>
  <dcterms:created xsi:type="dcterms:W3CDTF">2021-11-29T11:04:00Z</dcterms:created>
  <dcterms:modified xsi:type="dcterms:W3CDTF">2021-11-29T11:04:00Z</dcterms:modified>
</cp:coreProperties>
</file>